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31449F" w:rsidP="001A0F6D">
      <w:pPr>
        <w:jc w:val="center"/>
        <w:rPr>
          <w:b/>
        </w:rPr>
      </w:pPr>
      <w:r>
        <w:rPr>
          <w:b/>
        </w:rPr>
        <w:t>Zarządzenie nr  24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1449F">
        <w:rPr>
          <w:b/>
        </w:rPr>
        <w:t>20 grudnia</w:t>
      </w:r>
      <w:r w:rsidR="0097352F">
        <w:rPr>
          <w:b/>
        </w:rPr>
        <w:t xml:space="preserve"> </w:t>
      </w:r>
      <w:r w:rsidR="00EF0C62">
        <w:rPr>
          <w:b/>
        </w:rPr>
        <w:t>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31449F">
        <w:t>9 stycznia 2024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D5AA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2023-12-19T09:28:00Z</cp:lastPrinted>
  <dcterms:created xsi:type="dcterms:W3CDTF">2023-12-19T09:28:00Z</dcterms:created>
  <dcterms:modified xsi:type="dcterms:W3CDTF">2023-12-19T09:28:00Z</dcterms:modified>
</cp:coreProperties>
</file>