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1B190A" w:rsidP="001A0F6D">
      <w:pPr>
        <w:jc w:val="center"/>
        <w:rPr>
          <w:b/>
        </w:rPr>
      </w:pPr>
      <w:r>
        <w:rPr>
          <w:b/>
        </w:rPr>
        <w:t>Zarządzenie nr  8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1B190A">
        <w:rPr>
          <w:b/>
        </w:rPr>
        <w:t>27 marca</w:t>
      </w:r>
      <w:r w:rsidR="00A21FCE">
        <w:rPr>
          <w:b/>
        </w:rPr>
        <w:t xml:space="preserve">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A21FCE">
        <w:rPr>
          <w:bCs/>
          <w:i/>
        </w:rPr>
        <w:t>3 r. poz. 900, 1672, 1718, 2005)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1B190A">
        <w:t>9 kwietnia</w:t>
      </w:r>
      <w:r w:rsidR="00A21FCE">
        <w:t xml:space="preserve"> 2024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67E06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2024-03-27T13:15:00Z</cp:lastPrinted>
  <dcterms:created xsi:type="dcterms:W3CDTF">2024-03-27T13:16:00Z</dcterms:created>
  <dcterms:modified xsi:type="dcterms:W3CDTF">2024-03-27T13:16:00Z</dcterms:modified>
</cp:coreProperties>
</file>