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>Zarządzenie nr  2/2025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624BB9">
        <w:rPr>
          <w:b/>
        </w:rPr>
        <w:t>3 stycznia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624BB9" w:rsidRPr="00624BB9">
        <w:rPr>
          <w:i/>
        </w:rPr>
        <w:t>Dz. U. z 2024 r. poz. 737, 854, 1562 i 1635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624BB9">
        <w:t>14 stycznia 2025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BB9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0665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2025-01-03T12:49:00Z</cp:lastPrinted>
  <dcterms:created xsi:type="dcterms:W3CDTF">2025-01-03T12:49:00Z</dcterms:created>
  <dcterms:modified xsi:type="dcterms:W3CDTF">2025-01-03T12:49:00Z</dcterms:modified>
</cp:coreProperties>
</file>